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1FBE6BD0" w:rsidR="00D41207" w:rsidRPr="00953083" w:rsidRDefault="00D41207" w:rsidP="00D41207">
      <w:pPr>
        <w:widowControl w:val="0"/>
        <w:tabs>
          <w:tab w:val="left" w:pos="6521"/>
        </w:tabs>
        <w:spacing w:after="0"/>
        <w:rPr>
          <w:rFonts w:ascii="Arial" w:hAnsi="Arial"/>
          <w:i/>
          <w:sz w:val="28"/>
          <w:szCs w:val="28"/>
        </w:rPr>
      </w:pPr>
      <w:bookmarkStart w:id="0" w:name="_Hlk91681971"/>
      <w:bookmarkStart w:id="1" w:name="OLE_LINK1"/>
      <w:r w:rsidRPr="00953083">
        <w:rPr>
          <w:rFonts w:ascii="Arial" w:hAnsi="Arial" w:cs="Arial"/>
          <w:b/>
          <w:bCs/>
          <w:sz w:val="28"/>
          <w:szCs w:val="28"/>
        </w:rPr>
        <w:t>3GPP TSG RAN WG1 #1</w:t>
      </w:r>
      <w:r w:rsidR="00FE302E" w:rsidRPr="00953083">
        <w:rPr>
          <w:rFonts w:ascii="Arial" w:hAnsi="Arial" w:cs="Arial"/>
          <w:b/>
          <w:bCs/>
          <w:sz w:val="28"/>
          <w:szCs w:val="28"/>
        </w:rPr>
        <w:t>1</w:t>
      </w:r>
      <w:r w:rsidR="00472E77">
        <w:rPr>
          <w:rFonts w:ascii="Arial" w:hAnsi="Arial" w:cs="Arial"/>
          <w:b/>
          <w:bCs/>
          <w:sz w:val="28"/>
          <w:szCs w:val="28"/>
        </w:rPr>
        <w:t>5</w:t>
      </w:r>
      <w:r w:rsidR="00953083">
        <w:rPr>
          <w:rFonts w:ascii="Arial" w:hAnsi="Arial"/>
          <w:sz w:val="28"/>
          <w:szCs w:val="28"/>
        </w:rPr>
        <w:tab/>
        <w:t xml:space="preserve">        </w:t>
      </w:r>
      <w:r w:rsidR="00953083">
        <w:rPr>
          <w:rFonts w:ascii="Arial" w:hAnsi="Arial"/>
          <w:sz w:val="28"/>
          <w:szCs w:val="28"/>
        </w:rPr>
        <w:tab/>
      </w:r>
      <w:r w:rsidR="00953083">
        <w:rPr>
          <w:rFonts w:ascii="Arial" w:hAnsi="Arial"/>
          <w:sz w:val="28"/>
          <w:szCs w:val="28"/>
        </w:rPr>
        <w:tab/>
        <w:t xml:space="preserve">    </w:t>
      </w:r>
      <w:r w:rsidRPr="00953083">
        <w:rPr>
          <w:rFonts w:ascii="Arial" w:hAnsi="Arial"/>
          <w:sz w:val="28"/>
          <w:szCs w:val="28"/>
        </w:rPr>
        <w:t xml:space="preserve">  </w:t>
      </w:r>
      <w:r w:rsidRPr="00953083">
        <w:rPr>
          <w:rFonts w:ascii="Arial" w:hAnsi="Arial"/>
          <w:b/>
          <w:sz w:val="28"/>
          <w:szCs w:val="28"/>
        </w:rPr>
        <w:t>R1-</w:t>
      </w:r>
      <w:r w:rsidR="00374223" w:rsidRPr="00953083">
        <w:rPr>
          <w:rFonts w:ascii="Arial" w:hAnsi="Arial"/>
          <w:b/>
          <w:sz w:val="28"/>
          <w:szCs w:val="28"/>
        </w:rPr>
        <w:t>2</w:t>
      </w:r>
      <w:r w:rsidR="003C4D9C" w:rsidRPr="00953083">
        <w:rPr>
          <w:rFonts w:ascii="Arial" w:hAnsi="Arial"/>
          <w:b/>
          <w:sz w:val="28"/>
          <w:szCs w:val="28"/>
        </w:rPr>
        <w:t>3</w:t>
      </w:r>
      <w:r w:rsidR="00335312">
        <w:rPr>
          <w:rFonts w:ascii="Arial" w:hAnsi="Arial"/>
          <w:b/>
          <w:sz w:val="28"/>
          <w:szCs w:val="28"/>
        </w:rPr>
        <w:t>1</w:t>
      </w:r>
      <w:r w:rsidR="00B75C8B">
        <w:rPr>
          <w:rFonts w:ascii="Arial" w:hAnsi="Arial"/>
          <w:b/>
          <w:sz w:val="28"/>
          <w:szCs w:val="28"/>
        </w:rPr>
        <w:t>1806</w:t>
      </w:r>
      <w:bookmarkStart w:id="2" w:name="_GoBack"/>
      <w:bookmarkEnd w:id="2"/>
    </w:p>
    <w:bookmarkEnd w:id="0"/>
    <w:p w14:paraId="66DA4A75" w14:textId="4AAA0832" w:rsidR="00C51DD5" w:rsidRPr="009513AC" w:rsidRDefault="00BA2E44" w:rsidP="00C51D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3F11480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610591">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18C6F3DB"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C15025" w:rsidRPr="00C15025">
        <w:rPr>
          <w:rFonts w:ascii="Arial" w:hAnsi="Arial"/>
          <w:sz w:val="24"/>
          <w:szCs w:val="24"/>
          <w:lang w:eastAsia="ko-KR"/>
        </w:rPr>
        <w:t>Discussion on RAN4 LS on system parameters for NTN above 10 GHz</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45A5E50A" w14:textId="0CD5FA9B" w:rsidR="009C3B0C" w:rsidRPr="00FF0568" w:rsidRDefault="009C3B0C" w:rsidP="001875B3">
      <w:pPr>
        <w:pStyle w:val="af8"/>
        <w:spacing w:before="180" w:after="180"/>
        <w:rPr>
          <w:rFonts w:ascii="Times New Roman" w:hAnsi="Times New Roman"/>
          <w:sz w:val="20"/>
          <w:lang w:eastAsia="ko-KR"/>
        </w:rPr>
      </w:pPr>
      <w:r w:rsidRPr="00FF0568">
        <w:rPr>
          <w:rFonts w:ascii="Times New Roman" w:hAnsi="Times New Roman" w:hint="eastAsia"/>
          <w:sz w:val="20"/>
          <w:lang w:eastAsia="ko-KR"/>
        </w:rPr>
        <w:t xml:space="preserve">In RAN1#114, following observations are made for potential RAN1 impact for NTN above 10GHz. </w:t>
      </w:r>
    </w:p>
    <w:tbl>
      <w:tblPr>
        <w:tblStyle w:val="aff"/>
        <w:tblW w:w="0" w:type="auto"/>
        <w:tblLook w:val="04A0" w:firstRow="1" w:lastRow="0" w:firstColumn="1" w:lastColumn="0" w:noHBand="0" w:noVBand="1"/>
      </w:tblPr>
      <w:tblGrid>
        <w:gridCol w:w="9742"/>
      </w:tblGrid>
      <w:tr w:rsidR="009C3B0C" w14:paraId="7DAEDF50" w14:textId="77777777" w:rsidTr="009C3B0C">
        <w:tc>
          <w:tcPr>
            <w:tcW w:w="9742" w:type="dxa"/>
          </w:tcPr>
          <w:p w14:paraId="40A6EE96" w14:textId="77777777" w:rsidR="00B70757" w:rsidRPr="00E33563" w:rsidRDefault="00B70757" w:rsidP="0050615F">
            <w:pPr>
              <w:spacing w:after="0"/>
              <w:rPr>
                <w:b/>
              </w:rPr>
            </w:pPr>
            <w:r w:rsidRPr="00E33563">
              <w:rPr>
                <w:b/>
              </w:rPr>
              <w:t>Observation</w:t>
            </w:r>
          </w:p>
          <w:p w14:paraId="5F1BCCBA" w14:textId="77777777" w:rsidR="00B70757" w:rsidRDefault="00B70757" w:rsidP="0050615F">
            <w:pPr>
              <w:pStyle w:val="aff4"/>
              <w:spacing w:after="0"/>
              <w:ind w:left="0"/>
            </w:pPr>
            <w:r>
              <w:t xml:space="preserve">There is potential RAN1 discussion on the following aspects to support the </w:t>
            </w:r>
            <w:r w:rsidRPr="00535C19">
              <w:t>RAN4 work on NTN above 10 GHz</w:t>
            </w:r>
            <w:r>
              <w:t>:</w:t>
            </w:r>
          </w:p>
          <w:p w14:paraId="4889EC6A" w14:textId="77777777" w:rsidR="00B70757" w:rsidRDefault="00B70757" w:rsidP="001D3615">
            <w:pPr>
              <w:pStyle w:val="aff4"/>
              <w:numPr>
                <w:ilvl w:val="0"/>
                <w:numId w:val="19"/>
              </w:numPr>
              <w:spacing w:after="0"/>
              <w:contextualSpacing w:val="0"/>
            </w:pPr>
            <w:r>
              <w:t>PRACH configuration</w:t>
            </w:r>
          </w:p>
          <w:p w14:paraId="6E3F671C" w14:textId="77777777" w:rsidR="00B70757" w:rsidRDefault="00B70757" w:rsidP="001D3615">
            <w:pPr>
              <w:pStyle w:val="aff4"/>
              <w:numPr>
                <w:ilvl w:val="0"/>
                <w:numId w:val="19"/>
              </w:numPr>
              <w:spacing w:after="0"/>
              <w:contextualSpacing w:val="0"/>
            </w:pPr>
            <w:r>
              <w:t>UE autonomous timing advance in connection with transmit timing errors and their associated requirements.</w:t>
            </w:r>
          </w:p>
          <w:p w14:paraId="11639DC1" w14:textId="0AF96A20" w:rsidR="00B70757" w:rsidRDefault="00B70757" w:rsidP="001D3615">
            <w:pPr>
              <w:pStyle w:val="aff4"/>
              <w:numPr>
                <w:ilvl w:val="0"/>
                <w:numId w:val="19"/>
              </w:numPr>
              <w:spacing w:after="0"/>
              <w:contextualSpacing w:val="0"/>
            </w:pPr>
            <w:r>
              <w:t>Timing issues, e.g. MAC-CE application time in case of VSAT antenna for NR over NTN</w:t>
            </w:r>
          </w:p>
          <w:p w14:paraId="35A79CE7" w14:textId="77777777" w:rsidR="00B70757" w:rsidRDefault="00B70757" w:rsidP="001D3615">
            <w:pPr>
              <w:pStyle w:val="aff4"/>
              <w:numPr>
                <w:ilvl w:val="0"/>
                <w:numId w:val="19"/>
              </w:numPr>
              <w:spacing w:after="0"/>
              <w:contextualSpacing w:val="0"/>
            </w:pPr>
            <w:r>
              <w:t>Reference subcarrier spacing for FR2-NTN</w:t>
            </w:r>
          </w:p>
          <w:p w14:paraId="7A3B0EB3" w14:textId="77777777" w:rsidR="00B70757" w:rsidRDefault="00B70757" w:rsidP="001D3615">
            <w:pPr>
              <w:pStyle w:val="aff4"/>
              <w:numPr>
                <w:ilvl w:val="0"/>
                <w:numId w:val="19"/>
              </w:numPr>
              <w:spacing w:after="0"/>
              <w:contextualSpacing w:val="0"/>
            </w:pPr>
            <w:r>
              <w:rPr>
                <w:rFonts w:hint="eastAsia"/>
              </w:rPr>
              <w:t>P</w:t>
            </w:r>
            <w:r>
              <w:t>otential specification impact</w:t>
            </w:r>
          </w:p>
          <w:p w14:paraId="2B01C352" w14:textId="2743F8C1" w:rsidR="009C3B0C" w:rsidRPr="00B70757" w:rsidRDefault="00B70757" w:rsidP="0050615F">
            <w:pPr>
              <w:pStyle w:val="aff4"/>
              <w:tabs>
                <w:tab w:val="left" w:pos="1080"/>
              </w:tabs>
              <w:spacing w:after="0"/>
              <w:ind w:left="0"/>
            </w:pPr>
            <w:r>
              <w:t>No</w:t>
            </w:r>
            <w:r w:rsidRPr="00535C19">
              <w:t xml:space="preserve"> </w:t>
            </w:r>
            <w:r>
              <w:t>RAN1 specification impact is foreseen on c</w:t>
            </w:r>
            <w:r w:rsidRPr="002B22D2">
              <w:t>hannel raster and synchronization raster</w:t>
            </w:r>
            <w:r>
              <w:t xml:space="preserve"> for </w:t>
            </w:r>
            <w:r w:rsidRPr="00535C19">
              <w:t>NTN above 10 GHz</w:t>
            </w:r>
            <w:r>
              <w:t>.</w:t>
            </w:r>
          </w:p>
        </w:tc>
      </w:tr>
    </w:tbl>
    <w:p w14:paraId="30E67F84" w14:textId="575F1CF9" w:rsidR="00390C1E" w:rsidRDefault="00192110" w:rsidP="001875B3">
      <w:pPr>
        <w:pStyle w:val="af8"/>
        <w:spacing w:before="180" w:after="180"/>
        <w:rPr>
          <w:rFonts w:ascii="Times New Roman" w:hAnsi="Times New Roman"/>
          <w:sz w:val="20"/>
          <w:lang w:eastAsia="ko-KR"/>
        </w:rPr>
      </w:pPr>
      <w:r>
        <w:rPr>
          <w:rFonts w:ascii="Times New Roman" w:hAnsi="Times New Roman"/>
          <w:sz w:val="20"/>
          <w:lang w:eastAsia="ko-KR"/>
        </w:rPr>
        <w:t>In RAN1#114bis, most of issues in above observation are concluded in the following conclusion</w:t>
      </w:r>
      <w:r w:rsidR="00B45496">
        <w:rPr>
          <w:rFonts w:ascii="Times New Roman" w:hAnsi="Times New Roman"/>
          <w:sz w:val="20"/>
          <w:lang w:eastAsia="ko-KR"/>
        </w:rPr>
        <w:t>s</w:t>
      </w:r>
      <w:r>
        <w:rPr>
          <w:rFonts w:ascii="Times New Roman" w:hAnsi="Times New Roman"/>
          <w:sz w:val="20"/>
          <w:lang w:eastAsia="ko-KR"/>
        </w:rPr>
        <w:t xml:space="preserve"> and working assumption</w:t>
      </w:r>
      <w:r w:rsidR="00B45496">
        <w:rPr>
          <w:rFonts w:ascii="Times New Roman" w:hAnsi="Times New Roman"/>
          <w:sz w:val="20"/>
          <w:lang w:eastAsia="ko-KR"/>
        </w:rPr>
        <w:t>s</w:t>
      </w:r>
      <w:r>
        <w:rPr>
          <w:rFonts w:ascii="Times New Roman" w:hAnsi="Times New Roman"/>
          <w:sz w:val="20"/>
          <w:lang w:eastAsia="ko-KR"/>
        </w:rPr>
        <w:t xml:space="preserve">. </w:t>
      </w:r>
    </w:p>
    <w:tbl>
      <w:tblPr>
        <w:tblStyle w:val="aff"/>
        <w:tblW w:w="0" w:type="auto"/>
        <w:tblLook w:val="04A0" w:firstRow="1" w:lastRow="0" w:firstColumn="1" w:lastColumn="0" w:noHBand="0" w:noVBand="1"/>
      </w:tblPr>
      <w:tblGrid>
        <w:gridCol w:w="9742"/>
      </w:tblGrid>
      <w:tr w:rsidR="00192110" w14:paraId="786A706D" w14:textId="77777777" w:rsidTr="00192110">
        <w:tc>
          <w:tcPr>
            <w:tcW w:w="9742" w:type="dxa"/>
          </w:tcPr>
          <w:p w14:paraId="585E05B3" w14:textId="77777777" w:rsidR="00AE792D" w:rsidRPr="00A00F5A" w:rsidRDefault="00AE792D" w:rsidP="00AE792D">
            <w:pPr>
              <w:spacing w:after="0"/>
              <w:rPr>
                <w:color w:val="FFFFFF"/>
              </w:rPr>
            </w:pPr>
            <w:r w:rsidRPr="00A00F5A">
              <w:rPr>
                <w:color w:val="FFFFFF"/>
                <w:highlight w:val="darkYellow"/>
              </w:rPr>
              <w:t>Working assumption</w:t>
            </w:r>
          </w:p>
          <w:p w14:paraId="2A0D7B65" w14:textId="77777777" w:rsidR="00AE792D" w:rsidRPr="00A00F5A" w:rsidRDefault="00AE792D" w:rsidP="00AE792D">
            <w:pPr>
              <w:spacing w:after="0"/>
            </w:pPr>
            <w:r w:rsidRPr="00A00F5A">
              <w:t>For PRACH configuration for operation in FR2-NTN, Table 6.3.3.2-4 of TS 38.211 is used as baseline.</w:t>
            </w:r>
          </w:p>
          <w:p w14:paraId="6243A396" w14:textId="77777777" w:rsidR="00AE792D" w:rsidRPr="00A00F5A" w:rsidRDefault="00AE792D" w:rsidP="00AE792D">
            <w:pPr>
              <w:spacing w:after="0"/>
            </w:pPr>
            <w:r w:rsidRPr="00A00F5A">
              <w:t>FFS: Whether further modifications would be needed</w:t>
            </w:r>
          </w:p>
          <w:p w14:paraId="57E79FC9" w14:textId="77777777" w:rsidR="00AE792D" w:rsidRPr="00A00F5A" w:rsidRDefault="00AE792D" w:rsidP="00AE792D">
            <w:pPr>
              <w:spacing w:after="0"/>
              <w:rPr>
                <w:lang w:eastAsia="x-none"/>
              </w:rPr>
            </w:pPr>
          </w:p>
          <w:p w14:paraId="6BE9CA3E" w14:textId="77777777" w:rsidR="00AE792D" w:rsidRPr="00A00F5A" w:rsidRDefault="00AE792D" w:rsidP="00AE792D">
            <w:pPr>
              <w:spacing w:after="0"/>
              <w:rPr>
                <w:b/>
              </w:rPr>
            </w:pPr>
            <w:r w:rsidRPr="00A00F5A">
              <w:rPr>
                <w:b/>
              </w:rPr>
              <w:t>Conclusion</w:t>
            </w:r>
          </w:p>
          <w:p w14:paraId="03009FC4" w14:textId="77777777" w:rsidR="00AE792D" w:rsidRPr="00A00F5A" w:rsidRDefault="00AE792D" w:rsidP="00AE792D">
            <w:pPr>
              <w:spacing w:after="0"/>
            </w:pPr>
            <w:r w:rsidRPr="00A00F5A">
              <w:t>For operation in FR2-NTN, the value range in ms for K_offset and K-MAC shall be the same as for Rel-17 NR over NTN.</w:t>
            </w:r>
          </w:p>
          <w:p w14:paraId="49FDE3C4" w14:textId="77777777" w:rsidR="00AE792D" w:rsidRPr="00A00F5A" w:rsidRDefault="00AE792D" w:rsidP="00AE792D">
            <w:pPr>
              <w:spacing w:after="0"/>
              <w:rPr>
                <w:lang w:eastAsia="x-none"/>
              </w:rPr>
            </w:pPr>
          </w:p>
          <w:p w14:paraId="2C17AD93" w14:textId="77777777" w:rsidR="00AE792D" w:rsidRPr="00A00F5A" w:rsidRDefault="00AE792D" w:rsidP="00AE792D">
            <w:pPr>
              <w:spacing w:after="0"/>
              <w:rPr>
                <w:color w:val="FFFFFF"/>
              </w:rPr>
            </w:pPr>
            <w:r w:rsidRPr="00A00F5A">
              <w:rPr>
                <w:color w:val="FFFFFF"/>
                <w:highlight w:val="darkYellow"/>
              </w:rPr>
              <w:t>Working assumption</w:t>
            </w:r>
          </w:p>
          <w:p w14:paraId="236AA2F1" w14:textId="77777777" w:rsidR="00AE792D" w:rsidRPr="00A00F5A" w:rsidRDefault="00AE792D" w:rsidP="00AE792D">
            <w:pPr>
              <w:spacing w:after="0"/>
            </w:pPr>
            <w:r w:rsidRPr="00A00F5A">
              <w:t>For operation in FR2-NTN, use a reference SCS of 15 kHz for the indication of K_offset and K_MAC.</w:t>
            </w:r>
          </w:p>
          <w:p w14:paraId="4CF9B66A" w14:textId="77777777" w:rsidR="00AE792D" w:rsidRPr="00A00F5A" w:rsidRDefault="00AE792D" w:rsidP="00AE792D">
            <w:pPr>
              <w:spacing w:after="0"/>
              <w:rPr>
                <w:lang w:eastAsia="x-none"/>
              </w:rPr>
            </w:pPr>
          </w:p>
          <w:p w14:paraId="22D7E98F" w14:textId="77777777" w:rsidR="00AE792D" w:rsidRPr="00A00F5A" w:rsidRDefault="00AE792D" w:rsidP="00AE792D">
            <w:pPr>
              <w:spacing w:after="0"/>
              <w:rPr>
                <w:color w:val="FFFFFF"/>
              </w:rPr>
            </w:pPr>
            <w:r w:rsidRPr="00A00F5A">
              <w:rPr>
                <w:color w:val="FFFFFF"/>
                <w:highlight w:val="darkYellow"/>
              </w:rPr>
              <w:t>Working assumption:</w:t>
            </w:r>
          </w:p>
          <w:p w14:paraId="5027DFC0" w14:textId="77777777" w:rsidR="00AE792D" w:rsidRPr="00A00F5A" w:rsidRDefault="00AE792D" w:rsidP="00AE792D">
            <w:pPr>
              <w:spacing w:after="0"/>
            </w:pPr>
            <w:r w:rsidRPr="00A00F5A">
              <w:t>For operation in FR2-NTN, for cell search procedure, at least Case D in TS 38.213 is used to allow FDD operation in bands defined by FR2-NTN without any update to SSB pattern.</w:t>
            </w:r>
          </w:p>
          <w:p w14:paraId="24BFA98F" w14:textId="2E1038EE" w:rsidR="00AE792D" w:rsidRDefault="00AE792D" w:rsidP="00AE792D">
            <w:pPr>
              <w:spacing w:after="0"/>
            </w:pPr>
            <w:r w:rsidRPr="00A00F5A">
              <w:rPr>
                <w:rFonts w:hint="eastAsia"/>
              </w:rPr>
              <w:t>F</w:t>
            </w:r>
            <w:r w:rsidRPr="00A00F5A">
              <w:t>FS: whether Case E can also be used</w:t>
            </w:r>
          </w:p>
          <w:p w14:paraId="3F64C153" w14:textId="77777777" w:rsidR="0062058E" w:rsidRPr="00A00F5A" w:rsidRDefault="0062058E" w:rsidP="00AE792D">
            <w:pPr>
              <w:spacing w:after="0"/>
            </w:pPr>
          </w:p>
          <w:p w14:paraId="724BA0B6" w14:textId="77777777" w:rsidR="00AE792D" w:rsidRPr="00A00F5A" w:rsidRDefault="00AE792D" w:rsidP="00AE792D">
            <w:pPr>
              <w:spacing w:after="0"/>
              <w:rPr>
                <w:b/>
                <w:lang w:eastAsia="x-none"/>
              </w:rPr>
            </w:pPr>
            <w:r w:rsidRPr="00A00F5A">
              <w:rPr>
                <w:b/>
                <w:lang w:eastAsia="x-none"/>
              </w:rPr>
              <w:t>Conclusion</w:t>
            </w:r>
          </w:p>
          <w:p w14:paraId="5A615BFA" w14:textId="77777777" w:rsidR="00AE792D" w:rsidRPr="00A00F5A" w:rsidRDefault="00AE792D" w:rsidP="00AE792D">
            <w:pPr>
              <w:spacing w:after="0"/>
              <w:rPr>
                <w:lang w:eastAsia="x-none"/>
              </w:rPr>
            </w:pPr>
            <w:r w:rsidRPr="00A00F5A">
              <w:rPr>
                <w:lang w:eastAsia="x-none"/>
              </w:rPr>
              <w:t>For operation in FR2-NTN and for Rel-18, no additional MAC CE TCI application delay is introduced to facilitate mechanical beam steering with VSAT.</w:t>
            </w:r>
          </w:p>
          <w:p w14:paraId="64127B62" w14:textId="77777777" w:rsidR="00AE792D" w:rsidRPr="00A00F5A" w:rsidRDefault="00AE792D" w:rsidP="00AE792D">
            <w:pPr>
              <w:spacing w:after="0"/>
              <w:rPr>
                <w:lang w:eastAsia="x-none"/>
              </w:rPr>
            </w:pPr>
          </w:p>
          <w:p w14:paraId="34143838" w14:textId="77777777" w:rsidR="00AE792D" w:rsidRPr="00A00F5A" w:rsidRDefault="00AE792D" w:rsidP="00AE792D">
            <w:pPr>
              <w:spacing w:after="0"/>
              <w:rPr>
                <w:color w:val="FFFFFF"/>
                <w:lang w:eastAsia="x-none"/>
              </w:rPr>
            </w:pPr>
            <w:r w:rsidRPr="00A00F5A">
              <w:rPr>
                <w:color w:val="FFFFFF"/>
                <w:highlight w:val="darkYellow"/>
                <w:lang w:eastAsia="x-none"/>
              </w:rPr>
              <w:t>Working assumption</w:t>
            </w:r>
          </w:p>
          <w:p w14:paraId="46D1C474" w14:textId="5CA92611" w:rsidR="00192110" w:rsidRPr="00AE792D" w:rsidRDefault="00AE792D" w:rsidP="00AE792D">
            <w:pPr>
              <w:spacing w:after="0"/>
              <w:rPr>
                <w:lang w:eastAsia="x-none"/>
              </w:rPr>
            </w:pPr>
            <w:r w:rsidRPr="00A00F5A">
              <w:rPr>
                <w:lang w:eastAsia="x-none"/>
              </w:rPr>
              <w:t>From RAN1 perspective, for operation in FR2-NTN, the granularity used for TA reporting is the same as corresponding to the reference subcarrier spacing applied for K_offset.</w:t>
            </w:r>
          </w:p>
        </w:tc>
      </w:tr>
    </w:tbl>
    <w:p w14:paraId="074D69C6" w14:textId="4E110B9D" w:rsidR="006A5AA2" w:rsidRDefault="006A5AA2" w:rsidP="004018C6">
      <w:pPr>
        <w:pStyle w:val="Style1"/>
        <w:pBdr>
          <w:bottom w:val="single" w:sz="6" w:space="1" w:color="auto"/>
        </w:pBdr>
        <w:spacing w:after="0" w:afterAutospacing="0" w:line="240" w:lineRule="auto"/>
        <w:ind w:firstLine="0"/>
        <w:rPr>
          <w:u w:val="single"/>
        </w:rPr>
      </w:pPr>
    </w:p>
    <w:p w14:paraId="7EF75AC7" w14:textId="77777777" w:rsidR="00375E8A" w:rsidRPr="005E50FB" w:rsidRDefault="00375E8A" w:rsidP="004018C6">
      <w:pPr>
        <w:pStyle w:val="Style1"/>
        <w:pBdr>
          <w:bottom w:val="single" w:sz="6" w:space="1" w:color="auto"/>
        </w:pBdr>
        <w:spacing w:after="0" w:afterAutospacing="0" w:line="240" w:lineRule="auto"/>
        <w:ind w:firstLine="0"/>
        <w:rPr>
          <w:u w:val="single"/>
        </w:rPr>
      </w:pPr>
    </w:p>
    <w:p w14:paraId="41C5803E" w14:textId="6B01E1D6" w:rsidR="00EE15C0" w:rsidRDefault="009C3B0C" w:rsidP="00EE15C0">
      <w:pPr>
        <w:pStyle w:val="1"/>
        <w:spacing w:before="120" w:after="120"/>
        <w:rPr>
          <w:lang w:val="en-US" w:eastAsia="ko-KR"/>
        </w:rPr>
      </w:pPr>
      <w:r>
        <w:rPr>
          <w:lang w:val="en-US" w:eastAsia="ko-KR"/>
        </w:rPr>
        <w:t>Discussion</w:t>
      </w:r>
    </w:p>
    <w:p w14:paraId="349DBE3A" w14:textId="77777777" w:rsidR="004C64C6" w:rsidRDefault="00D57F89" w:rsidP="004C64C6">
      <w:pPr>
        <w:spacing w:before="180" w:line="276" w:lineRule="auto"/>
        <w:jc w:val="both"/>
        <w:rPr>
          <w:b/>
          <w:i/>
          <w:u w:val="single"/>
          <w:lang w:eastAsia="ko-KR"/>
        </w:rPr>
      </w:pPr>
      <w:r>
        <w:rPr>
          <w:b/>
          <w:i/>
          <w:u w:val="single"/>
          <w:lang w:eastAsia="ko-KR"/>
        </w:rPr>
        <w:t>Timing advance for initial access</w:t>
      </w:r>
    </w:p>
    <w:p w14:paraId="3F6880C2" w14:textId="68AF90C4" w:rsidR="00D57F89" w:rsidRDefault="0056075D" w:rsidP="004C64C6">
      <w:pPr>
        <w:spacing w:before="180" w:line="276" w:lineRule="auto"/>
        <w:jc w:val="both"/>
        <w:rPr>
          <w:lang w:val="en-GB" w:eastAsia="ko-KR"/>
        </w:rPr>
      </w:pPr>
      <w:r>
        <w:rPr>
          <w:rFonts w:hint="eastAsia"/>
          <w:lang w:eastAsia="ko-KR"/>
        </w:rPr>
        <w:tab/>
        <w:t xml:space="preserve">RAN1 discussed </w:t>
      </w:r>
      <w:r w:rsidR="00D57F89">
        <w:rPr>
          <w:lang w:eastAsia="ko-KR"/>
        </w:rPr>
        <w:t xml:space="preserve">on whether to consider negative TA indication in TAC. </w:t>
      </w:r>
      <w:r w:rsidR="0067406A">
        <w:rPr>
          <w:lang w:eastAsia="ko-KR"/>
        </w:rPr>
        <w:t xml:space="preserve">The main motivation is that it is likely that a UE would assume GPS information incorrectly and then gNB may receive PRACH earlier than expected due to pre-compensation error. However, most companies commented that it is a kind of optimization problem, and it could be avoided </w:t>
      </w:r>
      <w:r w:rsidR="0067406A">
        <w:rPr>
          <w:lang w:eastAsia="ko-KR"/>
        </w:rPr>
        <w:lastRenderedPageBreak/>
        <w:t>by gNB implementation. That</w:t>
      </w:r>
      <w:r w:rsidR="00AC65DC">
        <w:rPr>
          <w:lang w:eastAsia="ko-KR"/>
        </w:rPr>
        <w:t xml:space="preserve"> is</w:t>
      </w:r>
      <w:r w:rsidR="0067406A">
        <w:rPr>
          <w:lang w:eastAsia="ko-KR"/>
        </w:rPr>
        <w:t xml:space="preserve"> why </w:t>
      </w:r>
      <w:r w:rsidR="00D57F89">
        <w:rPr>
          <w:lang w:eastAsia="ko-KR"/>
        </w:rPr>
        <w:t>there was no consensus</w:t>
      </w:r>
      <w:r w:rsidR="0067406A">
        <w:rPr>
          <w:lang w:eastAsia="ko-KR"/>
        </w:rPr>
        <w:t xml:space="preserve"> to consider it</w:t>
      </w:r>
      <w:r w:rsidR="00D57F89">
        <w:rPr>
          <w:lang w:eastAsia="ko-KR"/>
        </w:rPr>
        <w:t xml:space="preserve">. </w:t>
      </w:r>
      <w:r w:rsidR="0067406A">
        <w:rPr>
          <w:lang w:eastAsia="ko-KR"/>
        </w:rPr>
        <w:t>Considering that</w:t>
      </w:r>
      <w:r w:rsidR="00D57F89">
        <w:rPr>
          <w:lang w:eastAsia="ko-KR"/>
        </w:rPr>
        <w:t xml:space="preserve"> RAN4 </w:t>
      </w:r>
      <w:r w:rsidR="0067406A">
        <w:rPr>
          <w:lang w:eastAsia="ko-KR"/>
        </w:rPr>
        <w:t>has on-going</w:t>
      </w:r>
      <w:r w:rsidR="00D57F89">
        <w:rPr>
          <w:lang w:eastAsia="ko-KR"/>
        </w:rPr>
        <w:t xml:space="preserve"> discussi</w:t>
      </w:r>
      <w:r w:rsidR="0067406A">
        <w:rPr>
          <w:lang w:eastAsia="ko-KR"/>
        </w:rPr>
        <w:t>on</w:t>
      </w:r>
      <w:r w:rsidR="00D57F89">
        <w:rPr>
          <w:lang w:eastAsia="ko-KR"/>
        </w:rPr>
        <w:t xml:space="preserve"> </w:t>
      </w:r>
      <w:r w:rsidR="005854F6">
        <w:rPr>
          <w:lang w:eastAsia="ko-KR"/>
        </w:rPr>
        <w:t xml:space="preserve">on </w:t>
      </w:r>
      <w:r w:rsidR="00D57F89">
        <w:rPr>
          <w:lang w:eastAsia="ko-KR"/>
        </w:rPr>
        <w:t>this issue, RAN1 does</w:t>
      </w:r>
      <w:r w:rsidR="00263D1C">
        <w:rPr>
          <w:lang w:eastAsia="ko-KR"/>
        </w:rPr>
        <w:t xml:space="preserve"> </w:t>
      </w:r>
      <w:r w:rsidR="00D57F89">
        <w:rPr>
          <w:lang w:eastAsia="ko-KR"/>
        </w:rPr>
        <w:t>n</w:t>
      </w:r>
      <w:r w:rsidR="00263D1C">
        <w:rPr>
          <w:lang w:eastAsia="ko-KR"/>
        </w:rPr>
        <w:t>o</w:t>
      </w:r>
      <w:r w:rsidR="00D57F89">
        <w:rPr>
          <w:lang w:eastAsia="ko-KR"/>
        </w:rPr>
        <w:t>t need to discuss separately until that RAN4 provides explicit LS about TAC</w:t>
      </w:r>
      <w:r w:rsidR="00A92E4B">
        <w:rPr>
          <w:lang w:eastAsia="ko-KR"/>
        </w:rPr>
        <w:t xml:space="preserve"> to RAN1</w:t>
      </w:r>
      <w:r w:rsidR="00D57F89">
        <w:rPr>
          <w:lang w:eastAsia="ko-KR"/>
        </w:rPr>
        <w:t xml:space="preserve">. If RAN4 concluded that negative TA is not </w:t>
      </w:r>
      <w:r w:rsidR="008C6821">
        <w:rPr>
          <w:lang w:eastAsia="ko-KR"/>
        </w:rPr>
        <w:t>needed</w:t>
      </w:r>
      <w:r w:rsidR="00D57F89">
        <w:rPr>
          <w:lang w:eastAsia="ko-KR"/>
        </w:rPr>
        <w:t xml:space="preserve">, </w:t>
      </w:r>
      <w:r w:rsidR="00EB078B">
        <w:rPr>
          <w:lang w:eastAsia="ko-KR"/>
        </w:rPr>
        <w:t xml:space="preserve">then </w:t>
      </w:r>
      <w:r w:rsidR="00263D1C">
        <w:rPr>
          <w:lang w:eastAsia="ko-KR"/>
        </w:rPr>
        <w:t>RAN1 does not</w:t>
      </w:r>
      <w:r w:rsidR="00D57F89">
        <w:rPr>
          <w:lang w:eastAsia="ko-KR"/>
        </w:rPr>
        <w:t xml:space="preserve"> need to consider further. </w:t>
      </w:r>
    </w:p>
    <w:p w14:paraId="61C230E0" w14:textId="345D6E76" w:rsidR="00497A4C" w:rsidRDefault="00497A4C" w:rsidP="00497A4C">
      <w:pPr>
        <w:spacing w:before="180" w:line="276" w:lineRule="auto"/>
        <w:jc w:val="both"/>
        <w:rPr>
          <w:b/>
          <w:u w:val="single"/>
          <w:lang w:eastAsia="ko-KR"/>
        </w:rPr>
      </w:pPr>
      <w:r w:rsidRPr="005F02BF">
        <w:rPr>
          <w:b/>
          <w:u w:val="single"/>
          <w:lang w:eastAsia="ko-KR"/>
        </w:rPr>
        <w:t xml:space="preserve">Proposal </w:t>
      </w:r>
      <w:r w:rsidR="00D57F89">
        <w:rPr>
          <w:b/>
          <w:u w:val="single"/>
          <w:lang w:eastAsia="ko-KR"/>
        </w:rPr>
        <w:t>1</w:t>
      </w:r>
      <w:r w:rsidRPr="005F02BF">
        <w:rPr>
          <w:b/>
          <w:u w:val="single"/>
          <w:lang w:eastAsia="ko-KR"/>
        </w:rPr>
        <w:t xml:space="preserve">: </w:t>
      </w:r>
      <w:r>
        <w:rPr>
          <w:b/>
          <w:u w:val="single"/>
          <w:lang w:eastAsia="ko-KR"/>
        </w:rPr>
        <w:t>RAN1</w:t>
      </w:r>
      <w:r w:rsidR="00BD588D">
        <w:rPr>
          <w:b/>
          <w:u w:val="single"/>
          <w:lang w:eastAsia="ko-KR"/>
        </w:rPr>
        <w:t xml:space="preserve"> should</w:t>
      </w:r>
      <w:r>
        <w:rPr>
          <w:b/>
          <w:u w:val="single"/>
          <w:lang w:eastAsia="ko-KR"/>
        </w:rPr>
        <w:t xml:space="preserve"> </w:t>
      </w:r>
      <w:r w:rsidR="00BD588D">
        <w:rPr>
          <w:b/>
          <w:u w:val="single"/>
          <w:lang w:eastAsia="ko-KR"/>
        </w:rPr>
        <w:t xml:space="preserve">deprioritize the </w:t>
      </w:r>
      <w:r w:rsidR="00D57F89">
        <w:rPr>
          <w:b/>
          <w:u w:val="single"/>
          <w:lang w:eastAsia="ko-KR"/>
        </w:rPr>
        <w:t>discuss</w:t>
      </w:r>
      <w:r w:rsidR="00BD588D">
        <w:rPr>
          <w:b/>
          <w:u w:val="single"/>
          <w:lang w:eastAsia="ko-KR"/>
        </w:rPr>
        <w:t>ion on</w:t>
      </w:r>
      <w:r w:rsidR="00D57F89">
        <w:rPr>
          <w:b/>
          <w:u w:val="single"/>
          <w:lang w:eastAsia="ko-KR"/>
        </w:rPr>
        <w:t xml:space="preserve"> negative TA issue of TAC until that RAN4 provides related LS</w:t>
      </w:r>
      <w:r w:rsidR="00BD588D">
        <w:rPr>
          <w:b/>
          <w:u w:val="single"/>
          <w:lang w:eastAsia="ko-KR"/>
        </w:rPr>
        <w:t xml:space="preserve"> to RAN1</w:t>
      </w:r>
      <w:r w:rsidR="00D57F89">
        <w:rPr>
          <w:b/>
          <w:u w:val="single"/>
          <w:lang w:eastAsia="ko-KR"/>
        </w:rPr>
        <w:t xml:space="preserve">. </w:t>
      </w:r>
    </w:p>
    <w:p w14:paraId="73414C15" w14:textId="77C00A64" w:rsidR="00497A4C" w:rsidRDefault="00497A4C" w:rsidP="00497A4C">
      <w:pPr>
        <w:spacing w:before="180" w:line="276" w:lineRule="auto"/>
        <w:jc w:val="both"/>
        <w:rPr>
          <w:b/>
          <w:u w:val="single"/>
          <w:lang w:eastAsia="ko-KR"/>
        </w:rPr>
      </w:pPr>
    </w:p>
    <w:p w14:paraId="6F61EBBC" w14:textId="67EC4250" w:rsidR="0067406A" w:rsidRDefault="002C5778" w:rsidP="0067406A">
      <w:pPr>
        <w:spacing w:before="180" w:line="276" w:lineRule="auto"/>
        <w:jc w:val="both"/>
        <w:rPr>
          <w:b/>
          <w:i/>
          <w:u w:val="single"/>
          <w:lang w:eastAsia="ko-KR"/>
        </w:rPr>
      </w:pPr>
      <w:r>
        <w:rPr>
          <w:b/>
          <w:i/>
          <w:u w:val="single"/>
          <w:lang w:eastAsia="ko-KR"/>
        </w:rPr>
        <w:t>Extended CP operation</w:t>
      </w:r>
    </w:p>
    <w:p w14:paraId="1D5BA92C" w14:textId="1346CCCC" w:rsidR="0067406A" w:rsidRDefault="00BD588D" w:rsidP="00BD588D">
      <w:pPr>
        <w:spacing w:before="180" w:line="276" w:lineRule="auto"/>
        <w:ind w:firstLine="284"/>
        <w:jc w:val="both"/>
        <w:rPr>
          <w:lang w:eastAsia="ko-KR"/>
        </w:rPr>
      </w:pPr>
      <w:r>
        <w:rPr>
          <w:lang w:eastAsia="ko-KR"/>
        </w:rPr>
        <w:t xml:space="preserve">Some companies proposed to support extended CP for 120kHz and 240kHz in FR2-NTN because satisfying timing </w:t>
      </w:r>
      <w:r w:rsidR="00B56185">
        <w:rPr>
          <w:lang w:eastAsia="ko-KR"/>
        </w:rPr>
        <w:t xml:space="preserve">error </w:t>
      </w:r>
      <w:r>
        <w:rPr>
          <w:lang w:eastAsia="ko-KR"/>
        </w:rPr>
        <w:t xml:space="preserve">requirement in FR2-NTN is quite challenge compared to FR1. That is why extended CP can relax the requirement. Considering RAN4 is still discussing on the timing </w:t>
      </w:r>
      <w:r w:rsidR="00B56185">
        <w:rPr>
          <w:lang w:eastAsia="ko-KR"/>
        </w:rPr>
        <w:t xml:space="preserve">error requirement, RAN1 does not need to discuss separately until that RAN4 provide explicit LS to RAN1. </w:t>
      </w:r>
    </w:p>
    <w:p w14:paraId="5E15A9F3" w14:textId="0675784C" w:rsidR="00B56185" w:rsidRDefault="00B56185" w:rsidP="00B56185">
      <w:pPr>
        <w:spacing w:before="180" w:line="276" w:lineRule="auto"/>
        <w:jc w:val="both"/>
        <w:rPr>
          <w:b/>
          <w:u w:val="single"/>
          <w:lang w:eastAsia="ko-KR"/>
        </w:rPr>
      </w:pPr>
      <w:r w:rsidRPr="005F02BF">
        <w:rPr>
          <w:b/>
          <w:u w:val="single"/>
          <w:lang w:eastAsia="ko-KR"/>
        </w:rPr>
        <w:t xml:space="preserve">Proposal </w:t>
      </w:r>
      <w:r w:rsidR="00141123">
        <w:rPr>
          <w:b/>
          <w:u w:val="single"/>
          <w:lang w:eastAsia="ko-KR"/>
        </w:rPr>
        <w:t>2</w:t>
      </w:r>
      <w:r w:rsidRPr="005F02BF">
        <w:rPr>
          <w:b/>
          <w:u w:val="single"/>
          <w:lang w:eastAsia="ko-KR"/>
        </w:rPr>
        <w:t xml:space="preserve">: </w:t>
      </w:r>
      <w:r>
        <w:rPr>
          <w:b/>
          <w:u w:val="single"/>
          <w:lang w:eastAsia="ko-KR"/>
        </w:rPr>
        <w:t xml:space="preserve">RAN1 should deprioritize the discussion on extended CP until that RAN4 provides related LS to RAN1. </w:t>
      </w:r>
    </w:p>
    <w:p w14:paraId="1E2B5DB1" w14:textId="6C21D7DB" w:rsidR="00B56185" w:rsidRDefault="00B56185" w:rsidP="00BD588D">
      <w:pPr>
        <w:spacing w:before="180" w:line="276" w:lineRule="auto"/>
        <w:ind w:firstLine="284"/>
        <w:jc w:val="both"/>
        <w:rPr>
          <w:b/>
          <w:u w:val="single"/>
          <w:lang w:eastAsia="ko-KR"/>
        </w:rPr>
      </w:pPr>
    </w:p>
    <w:p w14:paraId="4E9F8B70" w14:textId="721C787E" w:rsidR="001C7D26" w:rsidRDefault="001C7D26" w:rsidP="001C7D26">
      <w:pPr>
        <w:spacing w:before="180" w:line="276" w:lineRule="auto"/>
        <w:jc w:val="both"/>
        <w:rPr>
          <w:b/>
          <w:i/>
          <w:u w:val="single"/>
          <w:lang w:eastAsia="ko-KR"/>
        </w:rPr>
      </w:pPr>
      <w:r>
        <w:rPr>
          <w:b/>
          <w:i/>
          <w:u w:val="single"/>
          <w:lang w:eastAsia="ko-KR"/>
        </w:rPr>
        <w:t>UE feature</w:t>
      </w:r>
    </w:p>
    <w:p w14:paraId="23B43583" w14:textId="594C5034" w:rsidR="00BF43BC" w:rsidRDefault="00EC382F" w:rsidP="00BD588D">
      <w:pPr>
        <w:spacing w:before="180" w:line="276" w:lineRule="auto"/>
        <w:ind w:firstLine="284"/>
        <w:jc w:val="both"/>
        <w:rPr>
          <w:lang w:eastAsia="ko-KR"/>
        </w:rPr>
      </w:pPr>
      <w:r>
        <w:rPr>
          <w:lang w:eastAsia="ko-KR"/>
        </w:rPr>
        <w:t xml:space="preserve">In last RAN1#114bis, it was discussed on UE feature in FR2-NTN. Most companies think that this can be discussed later and in UE feature session. We think that at least new UE feature has not been identified compared to Rel-17 NTN UE feature. Thus, it is sufficient that RAN1 provide a conclusion such that RAN1 think that Rel-17 NTN features are supported in FR2-NTN. </w:t>
      </w:r>
      <w:r w:rsidR="00BF43BC">
        <w:rPr>
          <w:lang w:eastAsia="ko-KR"/>
        </w:rPr>
        <w:t>Since the note “</w:t>
      </w:r>
      <w:r w:rsidR="00BF43BC" w:rsidRPr="00F41679">
        <w:t>Note: This UE feature group is applicable only for bands in Table 5.2.2-1 in TS 38.101-5 and HAPS operation bands in Clause 5.2 of TS 38.104</w:t>
      </w:r>
      <w:r w:rsidR="00BF43BC">
        <w:t xml:space="preserve">” </w:t>
      </w:r>
      <w:r w:rsidR="00BF43BC">
        <w:rPr>
          <w:lang w:eastAsia="ko-KR"/>
        </w:rPr>
        <w:t xml:space="preserve">is captured for all Rel-17 NTN feature in </w:t>
      </w:r>
      <w:r w:rsidR="00911C4C">
        <w:rPr>
          <w:lang w:eastAsia="ko-KR"/>
        </w:rPr>
        <w:t>[</w:t>
      </w:r>
      <w:r w:rsidR="00BB2443">
        <w:rPr>
          <w:lang w:eastAsia="ko-KR"/>
        </w:rPr>
        <w:t>1</w:t>
      </w:r>
      <w:r w:rsidR="00911C4C">
        <w:rPr>
          <w:lang w:eastAsia="ko-KR"/>
        </w:rPr>
        <w:t>]</w:t>
      </w:r>
      <w:r w:rsidR="00BF43BC">
        <w:rPr>
          <w:lang w:eastAsia="ko-KR"/>
        </w:rPr>
        <w:t>, adding FR2-NTN band</w:t>
      </w:r>
      <w:r w:rsidR="007F3FA6">
        <w:rPr>
          <w:lang w:eastAsia="ko-KR"/>
        </w:rPr>
        <w:t xml:space="preserve"> </w:t>
      </w:r>
      <w:r w:rsidR="00BF43BC">
        <w:rPr>
          <w:lang w:eastAsia="ko-KR"/>
        </w:rPr>
        <w:t>is only</w:t>
      </w:r>
      <w:r w:rsidR="007F3FA6">
        <w:rPr>
          <w:lang w:eastAsia="ko-KR"/>
        </w:rPr>
        <w:t xml:space="preserve"> </w:t>
      </w:r>
      <w:r w:rsidR="00BF43BC">
        <w:rPr>
          <w:lang w:eastAsia="ko-KR"/>
        </w:rPr>
        <w:t xml:space="preserve">sufficient. </w:t>
      </w:r>
    </w:p>
    <w:p w14:paraId="076E3A34" w14:textId="0BB0AB75" w:rsidR="00BF43BC" w:rsidRDefault="00BF43BC" w:rsidP="00BF43BC">
      <w:pPr>
        <w:spacing w:before="180" w:line="276" w:lineRule="auto"/>
        <w:jc w:val="both"/>
        <w:rPr>
          <w:b/>
          <w:u w:val="single"/>
          <w:lang w:eastAsia="ko-KR"/>
        </w:rPr>
      </w:pPr>
      <w:r w:rsidRPr="005F02BF">
        <w:rPr>
          <w:b/>
          <w:u w:val="single"/>
          <w:lang w:eastAsia="ko-KR"/>
        </w:rPr>
        <w:t xml:space="preserve">Proposal </w:t>
      </w:r>
      <w:r w:rsidR="00141123">
        <w:rPr>
          <w:b/>
          <w:u w:val="single"/>
          <w:lang w:eastAsia="ko-KR"/>
        </w:rPr>
        <w:t>3</w:t>
      </w:r>
      <w:r w:rsidRPr="005F02BF">
        <w:rPr>
          <w:b/>
          <w:u w:val="single"/>
          <w:lang w:eastAsia="ko-KR"/>
        </w:rPr>
        <w:t xml:space="preserve">: </w:t>
      </w:r>
      <w:r>
        <w:rPr>
          <w:b/>
          <w:u w:val="single"/>
          <w:lang w:eastAsia="ko-KR"/>
        </w:rPr>
        <w:t>RAN1 conclude that Rel-17 NTN features are supported in FR2-NTN</w:t>
      </w:r>
      <w:r w:rsidR="006F0233">
        <w:rPr>
          <w:b/>
          <w:u w:val="single"/>
          <w:lang w:eastAsia="ko-KR"/>
        </w:rPr>
        <w:t xml:space="preserve">, and consider </w:t>
      </w:r>
      <w:r>
        <w:rPr>
          <w:b/>
          <w:u w:val="single"/>
          <w:lang w:eastAsia="ko-KR"/>
        </w:rPr>
        <w:t xml:space="preserve">adding FR2-NTN band in the note </w:t>
      </w:r>
      <w:r w:rsidR="00800006">
        <w:rPr>
          <w:b/>
          <w:u w:val="single"/>
          <w:lang w:eastAsia="ko-KR"/>
        </w:rPr>
        <w:t>of</w:t>
      </w:r>
      <w:r>
        <w:rPr>
          <w:b/>
          <w:u w:val="single"/>
          <w:lang w:eastAsia="ko-KR"/>
        </w:rPr>
        <w:t xml:space="preserve"> </w:t>
      </w:r>
      <w:r w:rsidR="00911C4C">
        <w:rPr>
          <w:b/>
          <w:u w:val="single"/>
          <w:lang w:eastAsia="ko-KR"/>
        </w:rPr>
        <w:t>all Rel-17 NTN feature</w:t>
      </w:r>
      <w:r w:rsidR="005053B8">
        <w:rPr>
          <w:b/>
          <w:u w:val="single"/>
          <w:lang w:eastAsia="ko-KR"/>
        </w:rPr>
        <w:t>s</w:t>
      </w:r>
      <w:r w:rsidR="00E96143">
        <w:rPr>
          <w:b/>
          <w:u w:val="single"/>
          <w:lang w:eastAsia="ko-KR"/>
        </w:rPr>
        <w:t>.</w:t>
      </w:r>
    </w:p>
    <w:p w14:paraId="6D72B421" w14:textId="77777777" w:rsidR="004A1A42" w:rsidRPr="004730C9"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19538CA8" w14:textId="77777777" w:rsidR="00E30135" w:rsidRPr="00E30135" w:rsidRDefault="003A2E1A" w:rsidP="00E30135">
      <w:pPr>
        <w:spacing w:after="120"/>
        <w:ind w:left="1654" w:hangingChars="827" w:hanging="1654"/>
        <w:rPr>
          <w:kern w:val="2"/>
          <w:lang w:eastAsia="zh-CN"/>
        </w:rPr>
      </w:pPr>
      <w:r>
        <w:rPr>
          <w:kern w:val="2"/>
          <w:lang w:eastAsia="zh-CN"/>
        </w:rPr>
        <w:t xml:space="preserve">The following proposals have been made for </w:t>
      </w:r>
      <w:r w:rsidR="00E30135" w:rsidRPr="00E30135">
        <w:rPr>
          <w:kern w:val="2"/>
          <w:lang w:eastAsia="zh-CN"/>
        </w:rPr>
        <w:t>RAN4 LS on the system parameters for NTN above 10 GHz</w:t>
      </w:r>
    </w:p>
    <w:p w14:paraId="7D38F8F9" w14:textId="77777777" w:rsidR="008D130A" w:rsidRDefault="008D130A" w:rsidP="008D130A">
      <w:pPr>
        <w:spacing w:before="180" w:line="276" w:lineRule="auto"/>
        <w:jc w:val="both"/>
        <w:rPr>
          <w:b/>
          <w:u w:val="single"/>
          <w:lang w:eastAsia="ko-KR"/>
        </w:rPr>
      </w:pPr>
      <w:r w:rsidRPr="005F02BF">
        <w:rPr>
          <w:b/>
          <w:u w:val="single"/>
          <w:lang w:eastAsia="ko-KR"/>
        </w:rPr>
        <w:t xml:space="preserve">Proposal </w:t>
      </w:r>
      <w:r>
        <w:rPr>
          <w:b/>
          <w:u w:val="single"/>
          <w:lang w:eastAsia="ko-KR"/>
        </w:rPr>
        <w:t>1</w:t>
      </w:r>
      <w:r w:rsidRPr="005F02BF">
        <w:rPr>
          <w:b/>
          <w:u w:val="single"/>
          <w:lang w:eastAsia="ko-KR"/>
        </w:rPr>
        <w:t xml:space="preserve">: </w:t>
      </w:r>
      <w:r>
        <w:rPr>
          <w:b/>
          <w:u w:val="single"/>
          <w:lang w:eastAsia="ko-KR"/>
        </w:rPr>
        <w:t xml:space="preserve">RAN1 should deprioritize the discussion on negative TA issue of TAC until that RAN4 provides related LS to RAN1. </w:t>
      </w:r>
    </w:p>
    <w:p w14:paraId="3FF9921C" w14:textId="77777777" w:rsidR="008D130A" w:rsidRDefault="008D130A" w:rsidP="008D130A">
      <w:pPr>
        <w:spacing w:before="180" w:line="276" w:lineRule="auto"/>
        <w:jc w:val="both"/>
        <w:rPr>
          <w:b/>
          <w:u w:val="single"/>
          <w:lang w:eastAsia="ko-KR"/>
        </w:rPr>
      </w:pPr>
      <w:r w:rsidRPr="005F02BF">
        <w:rPr>
          <w:b/>
          <w:u w:val="single"/>
          <w:lang w:eastAsia="ko-KR"/>
        </w:rPr>
        <w:t xml:space="preserve">Proposal </w:t>
      </w:r>
      <w:r>
        <w:rPr>
          <w:b/>
          <w:u w:val="single"/>
          <w:lang w:eastAsia="ko-KR"/>
        </w:rPr>
        <w:t>2</w:t>
      </w:r>
      <w:r w:rsidRPr="005F02BF">
        <w:rPr>
          <w:b/>
          <w:u w:val="single"/>
          <w:lang w:eastAsia="ko-KR"/>
        </w:rPr>
        <w:t xml:space="preserve">: </w:t>
      </w:r>
      <w:r>
        <w:rPr>
          <w:b/>
          <w:u w:val="single"/>
          <w:lang w:eastAsia="ko-KR"/>
        </w:rPr>
        <w:t xml:space="preserve">RAN1 should deprioritize the discussion on extended CP until that RAN4 provides related LS to RAN1. </w:t>
      </w:r>
    </w:p>
    <w:p w14:paraId="0946F030" w14:textId="77777777" w:rsidR="008D130A" w:rsidRDefault="008D130A" w:rsidP="008D130A">
      <w:pPr>
        <w:spacing w:before="180" w:line="276" w:lineRule="auto"/>
        <w:jc w:val="both"/>
        <w:rPr>
          <w:b/>
          <w:u w:val="single"/>
          <w:lang w:eastAsia="ko-KR"/>
        </w:rPr>
      </w:pPr>
      <w:r w:rsidRPr="005F02BF">
        <w:rPr>
          <w:b/>
          <w:u w:val="single"/>
          <w:lang w:eastAsia="ko-KR"/>
        </w:rPr>
        <w:t xml:space="preserve">Proposal </w:t>
      </w:r>
      <w:r>
        <w:rPr>
          <w:b/>
          <w:u w:val="single"/>
          <w:lang w:eastAsia="ko-KR"/>
        </w:rPr>
        <w:t>3</w:t>
      </w:r>
      <w:r w:rsidRPr="005F02BF">
        <w:rPr>
          <w:b/>
          <w:u w:val="single"/>
          <w:lang w:eastAsia="ko-KR"/>
        </w:rPr>
        <w:t xml:space="preserve">: </w:t>
      </w:r>
      <w:r>
        <w:rPr>
          <w:b/>
          <w:u w:val="single"/>
          <w:lang w:eastAsia="ko-KR"/>
        </w:rPr>
        <w:t>RAN1 conclude that Rel-17 NTN features are supported in FR2-NTN, and consider adding FR2-NTN band in the note of all Rel-17 NTN features.</w:t>
      </w:r>
    </w:p>
    <w:p w14:paraId="279F498D" w14:textId="77777777" w:rsidR="00065139" w:rsidRPr="008D130A" w:rsidRDefault="00065139" w:rsidP="00692D64">
      <w:pPr>
        <w:spacing w:before="180" w:line="276" w:lineRule="auto"/>
        <w:jc w:val="both"/>
        <w:rPr>
          <w:b/>
          <w:u w:val="single"/>
          <w:lang w:eastAsia="ko-KR"/>
        </w:rPr>
      </w:pPr>
    </w:p>
    <w:p w14:paraId="7B64F9B0" w14:textId="77777777" w:rsidR="00065139" w:rsidRPr="00872819" w:rsidRDefault="00065139" w:rsidP="00065139">
      <w:pPr>
        <w:pStyle w:val="1"/>
        <w:numPr>
          <w:ilvl w:val="0"/>
          <w:numId w:val="0"/>
        </w:numPr>
        <w:pBdr>
          <w:top w:val="single" w:sz="12" w:space="3" w:color="auto"/>
        </w:pBdr>
        <w:ind w:left="432" w:hanging="432"/>
        <w:rPr>
          <w:sz w:val="28"/>
          <w:lang w:eastAsia="ko-KR"/>
        </w:rPr>
      </w:pPr>
      <w:r w:rsidRPr="00872819">
        <w:rPr>
          <w:rFonts w:hint="eastAsia"/>
          <w:sz w:val="28"/>
          <w:lang w:eastAsia="ko-KR"/>
        </w:rPr>
        <w:t>References</w:t>
      </w:r>
    </w:p>
    <w:p w14:paraId="5F63E281" w14:textId="18552F34" w:rsidR="007F3FA6" w:rsidRPr="00A23117" w:rsidRDefault="007F3FA6" w:rsidP="00065139">
      <w:pPr>
        <w:pStyle w:val="24"/>
        <w:numPr>
          <w:ilvl w:val="0"/>
          <w:numId w:val="24"/>
        </w:numPr>
        <w:spacing w:after="60"/>
      </w:pPr>
      <w:r>
        <w:t xml:space="preserve">TR 38.822, User Equipment (UE) feature list (Release 17). </w:t>
      </w:r>
    </w:p>
    <w:p w14:paraId="29770E6D" w14:textId="77777777" w:rsidR="00355E0F" w:rsidRPr="00692D64" w:rsidRDefault="00355E0F" w:rsidP="00355E0F">
      <w:pPr>
        <w:spacing w:line="276" w:lineRule="auto"/>
        <w:jc w:val="both"/>
        <w:rPr>
          <w:b/>
          <w:u w:val="single"/>
          <w:lang w:eastAsia="ko-KR"/>
        </w:rPr>
      </w:pPr>
    </w:p>
    <w:sectPr w:rsidR="00355E0F" w:rsidRPr="00692D64"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BC7C6" w14:textId="77777777" w:rsidR="003C3103" w:rsidRPr="00C47AD2" w:rsidRDefault="003C3103">
      <w:pPr>
        <w:rPr>
          <w:rFonts w:ascii="Arial" w:hAnsi="Arial"/>
          <w:sz w:val="12"/>
        </w:rPr>
      </w:pPr>
      <w:r>
        <w:separator/>
      </w:r>
    </w:p>
  </w:endnote>
  <w:endnote w:type="continuationSeparator" w:id="0">
    <w:p w14:paraId="493E5E80" w14:textId="77777777" w:rsidR="003C3103" w:rsidRPr="00C47AD2" w:rsidRDefault="003C310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939947D"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75C8B">
      <w:rPr>
        <w:rStyle w:val="aff0"/>
      </w:rPr>
      <w:t>1</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97BFD" w14:textId="77777777" w:rsidR="003C3103" w:rsidRPr="00C47AD2" w:rsidRDefault="003C3103">
      <w:pPr>
        <w:rPr>
          <w:rFonts w:ascii="Arial" w:hAnsi="Arial"/>
          <w:sz w:val="12"/>
        </w:rPr>
      </w:pPr>
      <w:r>
        <w:separator/>
      </w:r>
    </w:p>
  </w:footnote>
  <w:footnote w:type="continuationSeparator" w:id="0">
    <w:p w14:paraId="6BB895C8" w14:textId="77777777" w:rsidR="003C3103" w:rsidRPr="00C47AD2" w:rsidRDefault="003C310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18" w15:restartNumberingAfterBreak="0">
    <w:nsid w:val="72700EBC"/>
    <w:multiLevelType w:val="hybridMultilevel"/>
    <w:tmpl w:val="C8D8A2DC"/>
    <w:lvl w:ilvl="0" w:tplc="F668AA3C">
      <w:start w:val="1"/>
      <w:numFmt w:val="bullet"/>
      <w:lvlText w:val=""/>
      <w:lvlJc w:val="left"/>
      <w:pPr>
        <w:ind w:left="818" w:hanging="400"/>
      </w:pPr>
      <w:rPr>
        <w:rFonts w:ascii="Symbol" w:eastAsia="MS Mincho" w:hAnsi="Symbol" w:cs="Times New Roman" w:hint="default"/>
      </w:rPr>
    </w:lvl>
    <w:lvl w:ilvl="1" w:tplc="04090003" w:tentative="1">
      <w:start w:val="1"/>
      <w:numFmt w:val="bullet"/>
      <w:lvlText w:val=""/>
      <w:lvlJc w:val="left"/>
      <w:pPr>
        <w:ind w:left="1218" w:hanging="400"/>
      </w:pPr>
      <w:rPr>
        <w:rFonts w:ascii="Wingdings" w:hAnsi="Wingdings" w:hint="default"/>
      </w:rPr>
    </w:lvl>
    <w:lvl w:ilvl="2" w:tplc="04090005" w:tentative="1">
      <w:start w:val="1"/>
      <w:numFmt w:val="bullet"/>
      <w:lvlText w:val=""/>
      <w:lvlJc w:val="left"/>
      <w:pPr>
        <w:ind w:left="1618" w:hanging="400"/>
      </w:pPr>
      <w:rPr>
        <w:rFonts w:ascii="Wingdings" w:hAnsi="Wingdings" w:hint="default"/>
      </w:rPr>
    </w:lvl>
    <w:lvl w:ilvl="3" w:tplc="04090001" w:tentative="1">
      <w:start w:val="1"/>
      <w:numFmt w:val="bullet"/>
      <w:lvlText w:val=""/>
      <w:lvlJc w:val="left"/>
      <w:pPr>
        <w:ind w:left="2018" w:hanging="400"/>
      </w:pPr>
      <w:rPr>
        <w:rFonts w:ascii="Wingdings" w:hAnsi="Wingdings" w:hint="default"/>
      </w:rPr>
    </w:lvl>
    <w:lvl w:ilvl="4" w:tplc="04090003" w:tentative="1">
      <w:start w:val="1"/>
      <w:numFmt w:val="bullet"/>
      <w:lvlText w:val=""/>
      <w:lvlJc w:val="left"/>
      <w:pPr>
        <w:ind w:left="2418" w:hanging="400"/>
      </w:pPr>
      <w:rPr>
        <w:rFonts w:ascii="Wingdings" w:hAnsi="Wingdings" w:hint="default"/>
      </w:rPr>
    </w:lvl>
    <w:lvl w:ilvl="5" w:tplc="04090005" w:tentative="1">
      <w:start w:val="1"/>
      <w:numFmt w:val="bullet"/>
      <w:lvlText w:val=""/>
      <w:lvlJc w:val="left"/>
      <w:pPr>
        <w:ind w:left="2818" w:hanging="400"/>
      </w:pPr>
      <w:rPr>
        <w:rFonts w:ascii="Wingdings" w:hAnsi="Wingdings" w:hint="default"/>
      </w:rPr>
    </w:lvl>
    <w:lvl w:ilvl="6" w:tplc="04090001" w:tentative="1">
      <w:start w:val="1"/>
      <w:numFmt w:val="bullet"/>
      <w:lvlText w:val=""/>
      <w:lvlJc w:val="left"/>
      <w:pPr>
        <w:ind w:left="3218" w:hanging="400"/>
      </w:pPr>
      <w:rPr>
        <w:rFonts w:ascii="Wingdings" w:hAnsi="Wingdings" w:hint="default"/>
      </w:rPr>
    </w:lvl>
    <w:lvl w:ilvl="7" w:tplc="04090003" w:tentative="1">
      <w:start w:val="1"/>
      <w:numFmt w:val="bullet"/>
      <w:lvlText w:val=""/>
      <w:lvlJc w:val="left"/>
      <w:pPr>
        <w:ind w:left="3618" w:hanging="400"/>
      </w:pPr>
      <w:rPr>
        <w:rFonts w:ascii="Wingdings" w:hAnsi="Wingdings" w:hint="default"/>
      </w:rPr>
    </w:lvl>
    <w:lvl w:ilvl="8" w:tplc="04090005" w:tentative="1">
      <w:start w:val="1"/>
      <w:numFmt w:val="bullet"/>
      <w:lvlText w:val=""/>
      <w:lvlJc w:val="left"/>
      <w:pPr>
        <w:ind w:left="4018" w:hanging="400"/>
      </w:pPr>
      <w:rPr>
        <w:rFonts w:ascii="Wingdings" w:hAnsi="Wingdings" w:hint="default"/>
      </w:rPr>
    </w:lvl>
  </w:abstractNum>
  <w:abstractNum w:abstractNumId="1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23"/>
  </w:num>
  <w:num w:numId="7">
    <w:abstractNumId w:val="13"/>
  </w:num>
  <w:num w:numId="8">
    <w:abstractNumId w:val="11"/>
  </w:num>
  <w:num w:numId="9">
    <w:abstractNumId w:val="20"/>
  </w:num>
  <w:num w:numId="10">
    <w:abstractNumId w:val="3"/>
  </w:num>
  <w:num w:numId="11">
    <w:abstractNumId w:val="4"/>
  </w:num>
  <w:num w:numId="12">
    <w:abstractNumId w:val="2"/>
  </w:num>
  <w:num w:numId="13">
    <w:abstractNumId w:val="22"/>
  </w:num>
  <w:num w:numId="14">
    <w:abstractNumId w:val="14"/>
  </w:num>
  <w:num w:numId="15">
    <w:abstractNumId w:val="17"/>
  </w:num>
  <w:num w:numId="16">
    <w:abstractNumId w:val="1"/>
  </w:num>
  <w:num w:numId="17">
    <w:abstractNumId w:val="7"/>
  </w:num>
  <w:num w:numId="18">
    <w:abstractNumId w:val="21"/>
  </w:num>
  <w:num w:numId="19">
    <w:abstractNumId w:val="16"/>
  </w:num>
  <w:num w:numId="20">
    <w:abstractNumId w:val="10"/>
  </w:num>
  <w:num w:numId="21">
    <w:abstractNumId w:val="15"/>
  </w:num>
  <w:num w:numId="22">
    <w:abstractNumId w:val="18"/>
  </w:num>
  <w:num w:numId="23">
    <w:abstractNumId w:val="6"/>
  </w:num>
  <w:num w:numId="2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646"/>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13"/>
    <w:rsid w:val="000331DC"/>
    <w:rsid w:val="00033773"/>
    <w:rsid w:val="000337E3"/>
    <w:rsid w:val="00033BAA"/>
    <w:rsid w:val="000340B6"/>
    <w:rsid w:val="00034239"/>
    <w:rsid w:val="00034300"/>
    <w:rsid w:val="00034305"/>
    <w:rsid w:val="00034524"/>
    <w:rsid w:val="000347BF"/>
    <w:rsid w:val="00034D6A"/>
    <w:rsid w:val="0003521E"/>
    <w:rsid w:val="000354DB"/>
    <w:rsid w:val="00035A11"/>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139"/>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28"/>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3FB0"/>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1C7B"/>
    <w:rsid w:val="000E2047"/>
    <w:rsid w:val="000E23E0"/>
    <w:rsid w:val="000E2645"/>
    <w:rsid w:val="000E2701"/>
    <w:rsid w:val="000E28F5"/>
    <w:rsid w:val="000E29BA"/>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336"/>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D27"/>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6D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6D3"/>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123"/>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EB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0F1"/>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2E8"/>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5B3"/>
    <w:rsid w:val="00187B1E"/>
    <w:rsid w:val="00190287"/>
    <w:rsid w:val="00190ACB"/>
    <w:rsid w:val="00190BAC"/>
    <w:rsid w:val="00190DC3"/>
    <w:rsid w:val="00190ECA"/>
    <w:rsid w:val="00191284"/>
    <w:rsid w:val="001912F3"/>
    <w:rsid w:val="00191503"/>
    <w:rsid w:val="00191901"/>
    <w:rsid w:val="00191BFB"/>
    <w:rsid w:val="00191ECB"/>
    <w:rsid w:val="00192110"/>
    <w:rsid w:val="001921A9"/>
    <w:rsid w:val="00192441"/>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6B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C7D26"/>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00"/>
    <w:rsid w:val="001D321F"/>
    <w:rsid w:val="001D3615"/>
    <w:rsid w:val="001D3710"/>
    <w:rsid w:val="001D3A84"/>
    <w:rsid w:val="001D3FD3"/>
    <w:rsid w:val="001D4591"/>
    <w:rsid w:val="001D497B"/>
    <w:rsid w:val="001D4BCD"/>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8D"/>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182"/>
    <w:rsid w:val="002108F5"/>
    <w:rsid w:val="0021127E"/>
    <w:rsid w:val="00211528"/>
    <w:rsid w:val="00211764"/>
    <w:rsid w:val="002117F8"/>
    <w:rsid w:val="002118C2"/>
    <w:rsid w:val="00211ED3"/>
    <w:rsid w:val="00212183"/>
    <w:rsid w:val="002122BA"/>
    <w:rsid w:val="00212507"/>
    <w:rsid w:val="002126FE"/>
    <w:rsid w:val="002127B3"/>
    <w:rsid w:val="002128A8"/>
    <w:rsid w:val="0021297E"/>
    <w:rsid w:val="00212C77"/>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5D4"/>
    <w:rsid w:val="0023587E"/>
    <w:rsid w:val="00235E62"/>
    <w:rsid w:val="00235F23"/>
    <w:rsid w:val="00235FEA"/>
    <w:rsid w:val="00236222"/>
    <w:rsid w:val="0023623C"/>
    <w:rsid w:val="002362AF"/>
    <w:rsid w:val="0023668E"/>
    <w:rsid w:val="00236757"/>
    <w:rsid w:val="002368DB"/>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10"/>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D1C"/>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787"/>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C9C"/>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C2D"/>
    <w:rsid w:val="002B0EEF"/>
    <w:rsid w:val="002B1211"/>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778"/>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180B"/>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039A"/>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6EA"/>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BB4"/>
    <w:rsid w:val="00317C68"/>
    <w:rsid w:val="00320116"/>
    <w:rsid w:val="00320512"/>
    <w:rsid w:val="003205A0"/>
    <w:rsid w:val="00320C61"/>
    <w:rsid w:val="003210E3"/>
    <w:rsid w:val="0032138D"/>
    <w:rsid w:val="003213A7"/>
    <w:rsid w:val="003215AA"/>
    <w:rsid w:val="0032168F"/>
    <w:rsid w:val="00321D45"/>
    <w:rsid w:val="00321DBB"/>
    <w:rsid w:val="00321EE3"/>
    <w:rsid w:val="003221B4"/>
    <w:rsid w:val="00322676"/>
    <w:rsid w:val="00322A48"/>
    <w:rsid w:val="00322C7B"/>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093"/>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C4F"/>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12"/>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BA4"/>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0F"/>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1A"/>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A5"/>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372"/>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337"/>
    <w:rsid w:val="0037554A"/>
    <w:rsid w:val="00375834"/>
    <w:rsid w:val="00375959"/>
    <w:rsid w:val="00375A7C"/>
    <w:rsid w:val="00375E8A"/>
    <w:rsid w:val="0037621C"/>
    <w:rsid w:val="0037624B"/>
    <w:rsid w:val="0037650E"/>
    <w:rsid w:val="003767E9"/>
    <w:rsid w:val="00376B7C"/>
    <w:rsid w:val="00376C1A"/>
    <w:rsid w:val="00376CAD"/>
    <w:rsid w:val="00376D3A"/>
    <w:rsid w:val="00377481"/>
    <w:rsid w:val="003775D8"/>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47A"/>
    <w:rsid w:val="00397749"/>
    <w:rsid w:val="00397B4F"/>
    <w:rsid w:val="003A02A4"/>
    <w:rsid w:val="003A032B"/>
    <w:rsid w:val="003A0ED9"/>
    <w:rsid w:val="003A0FC4"/>
    <w:rsid w:val="003A125F"/>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4DB0"/>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103"/>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3BC"/>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1FA9"/>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1C25"/>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1C"/>
    <w:rsid w:val="00425E8B"/>
    <w:rsid w:val="00426184"/>
    <w:rsid w:val="00426884"/>
    <w:rsid w:val="0042696F"/>
    <w:rsid w:val="00426CA7"/>
    <w:rsid w:val="00426CDD"/>
    <w:rsid w:val="00426E11"/>
    <w:rsid w:val="00426FB2"/>
    <w:rsid w:val="0042742C"/>
    <w:rsid w:val="0042768C"/>
    <w:rsid w:val="004279FE"/>
    <w:rsid w:val="00427B3B"/>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C26"/>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4D"/>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2E77"/>
    <w:rsid w:val="004730BD"/>
    <w:rsid w:val="004730C9"/>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1A"/>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2DD"/>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4C"/>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220"/>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4C6"/>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2C1"/>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470"/>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3B8"/>
    <w:rsid w:val="005054AE"/>
    <w:rsid w:val="00505507"/>
    <w:rsid w:val="00505699"/>
    <w:rsid w:val="00505981"/>
    <w:rsid w:val="0050615F"/>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078"/>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1B6"/>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9"/>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75D"/>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6F7"/>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4F6"/>
    <w:rsid w:val="00585545"/>
    <w:rsid w:val="005855EC"/>
    <w:rsid w:val="00585D51"/>
    <w:rsid w:val="00585FD0"/>
    <w:rsid w:val="00586006"/>
    <w:rsid w:val="005860EC"/>
    <w:rsid w:val="00586269"/>
    <w:rsid w:val="0058637A"/>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30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3A77"/>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D7ECD"/>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889"/>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66F5"/>
    <w:rsid w:val="006074C6"/>
    <w:rsid w:val="00607578"/>
    <w:rsid w:val="0060787E"/>
    <w:rsid w:val="006078D8"/>
    <w:rsid w:val="00607B88"/>
    <w:rsid w:val="00607DD3"/>
    <w:rsid w:val="00607FC5"/>
    <w:rsid w:val="006103C7"/>
    <w:rsid w:val="00610591"/>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58E"/>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3FE6"/>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406A"/>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52B"/>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2D64"/>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CEF"/>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DE8"/>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29C"/>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233"/>
    <w:rsid w:val="006F03DF"/>
    <w:rsid w:val="006F08A7"/>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B9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787"/>
    <w:rsid w:val="00711E0D"/>
    <w:rsid w:val="007129D1"/>
    <w:rsid w:val="00712A92"/>
    <w:rsid w:val="00712D8B"/>
    <w:rsid w:val="00712DF1"/>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2F"/>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753"/>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5D30"/>
    <w:rsid w:val="00766109"/>
    <w:rsid w:val="007661AC"/>
    <w:rsid w:val="00766589"/>
    <w:rsid w:val="007668AF"/>
    <w:rsid w:val="007668E7"/>
    <w:rsid w:val="00766B71"/>
    <w:rsid w:val="00766C3D"/>
    <w:rsid w:val="00766DAC"/>
    <w:rsid w:val="00767069"/>
    <w:rsid w:val="00767183"/>
    <w:rsid w:val="0076761C"/>
    <w:rsid w:val="00767890"/>
    <w:rsid w:val="007679E3"/>
    <w:rsid w:val="0077018F"/>
    <w:rsid w:val="0077024A"/>
    <w:rsid w:val="00770274"/>
    <w:rsid w:val="007702F1"/>
    <w:rsid w:val="0077049A"/>
    <w:rsid w:val="007704CE"/>
    <w:rsid w:val="007709A3"/>
    <w:rsid w:val="00770BD7"/>
    <w:rsid w:val="00770D30"/>
    <w:rsid w:val="00771001"/>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66D"/>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EF7"/>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A6"/>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006"/>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99F"/>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5B4"/>
    <w:rsid w:val="0087769D"/>
    <w:rsid w:val="0087793C"/>
    <w:rsid w:val="00877CB8"/>
    <w:rsid w:val="00877DDC"/>
    <w:rsid w:val="008800A0"/>
    <w:rsid w:val="00880134"/>
    <w:rsid w:val="008801F4"/>
    <w:rsid w:val="0088026C"/>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821"/>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30A"/>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4B2"/>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8ED"/>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2997"/>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C4C"/>
    <w:rsid w:val="00911E72"/>
    <w:rsid w:val="009120EC"/>
    <w:rsid w:val="00912417"/>
    <w:rsid w:val="00912622"/>
    <w:rsid w:val="0091277F"/>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C32"/>
    <w:rsid w:val="00921F34"/>
    <w:rsid w:val="00921F92"/>
    <w:rsid w:val="00922291"/>
    <w:rsid w:val="0092243D"/>
    <w:rsid w:val="0092256D"/>
    <w:rsid w:val="00922A08"/>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15"/>
    <w:rsid w:val="0093633E"/>
    <w:rsid w:val="009368A2"/>
    <w:rsid w:val="0093765A"/>
    <w:rsid w:val="00937860"/>
    <w:rsid w:val="009378F3"/>
    <w:rsid w:val="009378FA"/>
    <w:rsid w:val="009379D2"/>
    <w:rsid w:val="00937B65"/>
    <w:rsid w:val="00937E17"/>
    <w:rsid w:val="00940622"/>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083"/>
    <w:rsid w:val="009536B1"/>
    <w:rsid w:val="00953983"/>
    <w:rsid w:val="00953A8D"/>
    <w:rsid w:val="00953B49"/>
    <w:rsid w:val="00953ECC"/>
    <w:rsid w:val="00954250"/>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A5C"/>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205"/>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23"/>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3F82"/>
    <w:rsid w:val="009B4103"/>
    <w:rsid w:val="009B4358"/>
    <w:rsid w:val="009B4723"/>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B0C"/>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715"/>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5A"/>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1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117"/>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DB9"/>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5EA8"/>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69"/>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2E4B"/>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5DC"/>
    <w:rsid w:val="00AC6BF9"/>
    <w:rsid w:val="00AC7379"/>
    <w:rsid w:val="00AC756D"/>
    <w:rsid w:val="00AC7923"/>
    <w:rsid w:val="00AC7D0A"/>
    <w:rsid w:val="00AD041A"/>
    <w:rsid w:val="00AD0AE2"/>
    <w:rsid w:val="00AD0F22"/>
    <w:rsid w:val="00AD1392"/>
    <w:rsid w:val="00AD1498"/>
    <w:rsid w:val="00AD1556"/>
    <w:rsid w:val="00AD160C"/>
    <w:rsid w:val="00AD184F"/>
    <w:rsid w:val="00AD1985"/>
    <w:rsid w:val="00AD1E21"/>
    <w:rsid w:val="00AD1F1C"/>
    <w:rsid w:val="00AD21A8"/>
    <w:rsid w:val="00AD21E1"/>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0FC9"/>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92D"/>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C0E"/>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3F"/>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47F"/>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2C7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2C0"/>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C7C"/>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921"/>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0BE4"/>
    <w:rsid w:val="00B410EC"/>
    <w:rsid w:val="00B41671"/>
    <w:rsid w:val="00B417D5"/>
    <w:rsid w:val="00B4182C"/>
    <w:rsid w:val="00B41DC8"/>
    <w:rsid w:val="00B4260E"/>
    <w:rsid w:val="00B426F4"/>
    <w:rsid w:val="00B42745"/>
    <w:rsid w:val="00B42EF5"/>
    <w:rsid w:val="00B42FE4"/>
    <w:rsid w:val="00B43186"/>
    <w:rsid w:val="00B438E2"/>
    <w:rsid w:val="00B43956"/>
    <w:rsid w:val="00B43D0A"/>
    <w:rsid w:val="00B44674"/>
    <w:rsid w:val="00B4498E"/>
    <w:rsid w:val="00B451D6"/>
    <w:rsid w:val="00B4529C"/>
    <w:rsid w:val="00B452FB"/>
    <w:rsid w:val="00B45496"/>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185"/>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757"/>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DE0"/>
    <w:rsid w:val="00B74216"/>
    <w:rsid w:val="00B7490E"/>
    <w:rsid w:val="00B74966"/>
    <w:rsid w:val="00B74A3F"/>
    <w:rsid w:val="00B74D6B"/>
    <w:rsid w:val="00B74E90"/>
    <w:rsid w:val="00B75328"/>
    <w:rsid w:val="00B75C8B"/>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653"/>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44"/>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4F2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443"/>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CAB"/>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88D"/>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3BC"/>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C88"/>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25"/>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EDF"/>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3D"/>
    <w:rsid w:val="00C503F8"/>
    <w:rsid w:val="00C50577"/>
    <w:rsid w:val="00C50597"/>
    <w:rsid w:val="00C50644"/>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DD5"/>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EAB"/>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59"/>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0EAD"/>
    <w:rsid w:val="00CE167D"/>
    <w:rsid w:val="00CE1BB3"/>
    <w:rsid w:val="00CE1E95"/>
    <w:rsid w:val="00CE210E"/>
    <w:rsid w:val="00CE21EE"/>
    <w:rsid w:val="00CE228A"/>
    <w:rsid w:val="00CE24A7"/>
    <w:rsid w:val="00CE24AB"/>
    <w:rsid w:val="00CE26E8"/>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071"/>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CCA"/>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4B4"/>
    <w:rsid w:val="00D435D6"/>
    <w:rsid w:val="00D43754"/>
    <w:rsid w:val="00D443D1"/>
    <w:rsid w:val="00D44634"/>
    <w:rsid w:val="00D44847"/>
    <w:rsid w:val="00D44A5E"/>
    <w:rsid w:val="00D44C27"/>
    <w:rsid w:val="00D44DBA"/>
    <w:rsid w:val="00D44E23"/>
    <w:rsid w:val="00D45403"/>
    <w:rsid w:val="00D454CF"/>
    <w:rsid w:val="00D45631"/>
    <w:rsid w:val="00D457F4"/>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4F9A"/>
    <w:rsid w:val="00D550FF"/>
    <w:rsid w:val="00D557AB"/>
    <w:rsid w:val="00D55AD8"/>
    <w:rsid w:val="00D56029"/>
    <w:rsid w:val="00D5610D"/>
    <w:rsid w:val="00D56220"/>
    <w:rsid w:val="00D56524"/>
    <w:rsid w:val="00D56CE7"/>
    <w:rsid w:val="00D57417"/>
    <w:rsid w:val="00D57801"/>
    <w:rsid w:val="00D57910"/>
    <w:rsid w:val="00D57DD2"/>
    <w:rsid w:val="00D57F89"/>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785"/>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4B"/>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565"/>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C17"/>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0F"/>
    <w:rsid w:val="00E03720"/>
    <w:rsid w:val="00E03882"/>
    <w:rsid w:val="00E038A6"/>
    <w:rsid w:val="00E03B51"/>
    <w:rsid w:val="00E042A6"/>
    <w:rsid w:val="00E043B9"/>
    <w:rsid w:val="00E04774"/>
    <w:rsid w:val="00E0482A"/>
    <w:rsid w:val="00E0483D"/>
    <w:rsid w:val="00E049C2"/>
    <w:rsid w:val="00E04B5A"/>
    <w:rsid w:val="00E04E7B"/>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135"/>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6A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601"/>
    <w:rsid w:val="00E468D1"/>
    <w:rsid w:val="00E46D5D"/>
    <w:rsid w:val="00E46D81"/>
    <w:rsid w:val="00E46EFB"/>
    <w:rsid w:val="00E479B1"/>
    <w:rsid w:val="00E47C4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4FE5"/>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494"/>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E49"/>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43"/>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78B"/>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971"/>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2F"/>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DD"/>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CB6"/>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3F48"/>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209"/>
    <w:rsid w:val="00F11940"/>
    <w:rsid w:val="00F11A7B"/>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4E8"/>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456"/>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101"/>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2F0"/>
    <w:rsid w:val="00F81E79"/>
    <w:rsid w:val="00F82086"/>
    <w:rsid w:val="00F821C3"/>
    <w:rsid w:val="00F82533"/>
    <w:rsid w:val="00F82750"/>
    <w:rsid w:val="00F82CD4"/>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42"/>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0F9"/>
    <w:rsid w:val="00FB74C2"/>
    <w:rsid w:val="00FB7AE3"/>
    <w:rsid w:val="00FB7B9D"/>
    <w:rsid w:val="00FB7BA8"/>
    <w:rsid w:val="00FC028A"/>
    <w:rsid w:val="00FC05CC"/>
    <w:rsid w:val="00FC06DD"/>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568"/>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76C"/>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paragraph" w:customStyle="1" w:styleId="DraftProposal">
    <w:name w:val="Draft Proposal"/>
    <w:basedOn w:val="af1"/>
    <w:next w:val="a0"/>
    <w:uiPriority w:val="99"/>
    <w:qFormat/>
    <w:rsid w:val="00FF0568"/>
    <w:pPr>
      <w:numPr>
        <w:numId w:val="20"/>
      </w:numPr>
      <w:tabs>
        <w:tab w:val="left" w:pos="1701"/>
      </w:tabs>
      <w:spacing w:after="160" w:line="259" w:lineRule="auto"/>
    </w:pPr>
    <w:rPr>
      <w:rFonts w:asciiTheme="minorHAnsi" w:eastAsia="SimSun" w:hAnsiTheme="minorHAnsi" w:cstheme="minorBidi"/>
      <w:b/>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9991941">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5CCC6-3D0C-4B02-925E-D886F8A4D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700</Words>
  <Characters>3995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91</cp:revision>
  <cp:lastPrinted>2010-03-24T01:20:00Z</cp:lastPrinted>
  <dcterms:created xsi:type="dcterms:W3CDTF">2023-09-26T23:33:00Z</dcterms:created>
  <dcterms:modified xsi:type="dcterms:W3CDTF">2023-11-03T00:24:00Z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